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t>PCR PET</w:t>
      </w:r>
      <w:r>
        <w:rPr>
          <w:rFonts w:hint="eastAsia"/>
          <w:lang w:val="en-US" w:eastAsia="zh-CN"/>
        </w:rPr>
        <w:t xml:space="preserve"> HY0801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Beverage bottle</w:t>
      </w:r>
      <w:r>
        <w:rPr>
          <w:u w:val="single"/>
        </w:rPr>
        <w:t xml:space="preserve">      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Electronics, Spinning, Toys</w:t>
      </w:r>
      <w:r>
        <w:rPr>
          <w:u w:val="single"/>
        </w:rPr>
        <w:t xml:space="preserve">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Melting point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Viscosity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ISO1628-5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00.67±0.03DL/g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Water content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ISO62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≤0.4%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Ash content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ISO3451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≤0.08%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 color value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 color value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Density 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ISO1183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1.395±0.02g/cm³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B50A1A"/>
    <w:rsid w:val="00DD1467"/>
    <w:rsid w:val="29104847"/>
    <w:rsid w:val="33EF164F"/>
    <w:rsid w:val="3DEE6838"/>
    <w:rsid w:val="608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2024-03-28T07:23:58Z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6A8CE63216074EFCA9CAB3BAD380700A_13</vt:lpwstr>
  </property>
</Properties>
</file>